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71" w:rsidRDefault="00815571" w:rsidP="00815571">
      <w:pPr>
        <w:jc w:val="left"/>
        <w:rPr>
          <w:rFonts w:ascii="仿宋" w:eastAsia="仿宋" w:hAnsi="仿宋" w:cs="仿宋"/>
          <w:bCs/>
          <w:sz w:val="20"/>
          <w:szCs w:val="20"/>
        </w:rPr>
      </w:pPr>
      <w:r>
        <w:rPr>
          <w:rFonts w:ascii="黑体" w:eastAsia="黑体" w:hAnsi="黑体" w:cs="黑体" w:hint="eastAsia"/>
          <w:sz w:val="32"/>
          <w:szCs w:val="32"/>
        </w:rPr>
        <w:t>附件2</w:t>
      </w:r>
    </w:p>
    <w:p w:rsidR="00815571" w:rsidRDefault="00815571" w:rsidP="00815571">
      <w:pPr>
        <w:jc w:val="center"/>
        <w:rPr>
          <w:rFonts w:ascii="方正小标宋简体" w:eastAsia="方正小标宋简体" w:hAnsi="仿宋_GB2312" w:cs="仿宋_GB2312"/>
          <w:sz w:val="36"/>
          <w:szCs w:val="36"/>
        </w:rPr>
      </w:pPr>
      <w:r>
        <w:rPr>
          <w:rFonts w:ascii="方正小标宋简体" w:eastAsia="方正小标宋简体" w:hAnsi="方正小标宋简体" w:cs="方正小标宋简体" w:hint="eastAsia"/>
          <w:sz w:val="36"/>
          <w:szCs w:val="36"/>
        </w:rPr>
        <w:t>流行病学史筛查表（个人填写）</w:t>
      </w:r>
    </w:p>
    <w:p w:rsidR="00815571" w:rsidRDefault="00815571" w:rsidP="00815571">
      <w:pPr>
        <w:rPr>
          <w:rFonts w:ascii="仿宋_GB2312" w:eastAsia="仿宋_GB2312" w:hAnsi="仿宋_GB2312" w:cs="仿宋_GB2312"/>
          <w:sz w:val="32"/>
          <w:szCs w:val="32"/>
        </w:rPr>
      </w:pPr>
      <w:r>
        <w:rPr>
          <w:rFonts w:ascii="仿宋_GB2312" w:eastAsia="仿宋_GB2312" w:hAnsi="仿宋_GB2312" w:cs="仿宋_GB2312" w:hint="eastAsia"/>
          <w:sz w:val="32"/>
          <w:szCs w:val="32"/>
        </w:rPr>
        <w:t>姓名：     性别：    年龄：     工作单位：</w:t>
      </w:r>
    </w:p>
    <w:p w:rsidR="00815571" w:rsidRDefault="00815571" w:rsidP="00815571">
      <w:pPr>
        <w:ind w:left="1600" w:hangingChars="500" w:hanging="1600"/>
        <w:rPr>
          <w:rFonts w:ascii="仿宋_GB2312" w:eastAsia="仿宋_GB2312" w:hAnsi="仿宋_GB2312" w:cs="仿宋_GB2312"/>
          <w:sz w:val="32"/>
          <w:szCs w:val="32"/>
        </w:rPr>
      </w:pPr>
      <w:r>
        <w:rPr>
          <w:rFonts w:ascii="仿宋_GB2312" w:eastAsia="仿宋_GB2312" w:hAnsi="仿宋_GB2312" w:cs="仿宋_GB2312" w:hint="eastAsia"/>
          <w:sz w:val="32"/>
          <w:szCs w:val="32"/>
        </w:rPr>
        <w:t>居住地：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小区</w:t>
      </w:r>
    </w:p>
    <w:p w:rsidR="00815571" w:rsidRDefault="00815571" w:rsidP="00815571">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815571" w:rsidRDefault="00815571" w:rsidP="00815571">
      <w:pPr>
        <w:pStyle w:val="2"/>
        <w:rPr>
          <w:rFonts w:ascii="仿宋_GB2312" w:eastAsia="仿宋_GB2312" w:hAnsi="仿宋_GB2312" w:cs="仿宋_GB2312"/>
          <w:sz w:val="32"/>
          <w:szCs w:val="32"/>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7"/>
        <w:gridCol w:w="1435"/>
        <w:gridCol w:w="1747"/>
      </w:tblGrid>
      <w:tr w:rsidR="00815571" w:rsidTr="00284C85">
        <w:trPr>
          <w:trHeight w:val="489"/>
        </w:trPr>
        <w:tc>
          <w:tcPr>
            <w:tcW w:w="3257" w:type="pct"/>
          </w:tcPr>
          <w:p w:rsidR="00815571" w:rsidRDefault="00815571" w:rsidP="00284C85">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筛查内容</w:t>
            </w:r>
          </w:p>
        </w:tc>
        <w:tc>
          <w:tcPr>
            <w:tcW w:w="786" w:type="pct"/>
          </w:tcPr>
          <w:p w:rsidR="00815571" w:rsidRDefault="00815571" w:rsidP="00284C85">
            <w:pPr>
              <w:rPr>
                <w:rFonts w:ascii="仿宋_GB2312" w:eastAsia="仿宋_GB2312" w:hAnsi="仿宋_GB2312" w:cs="仿宋_GB2312"/>
                <w:sz w:val="32"/>
                <w:szCs w:val="32"/>
              </w:rPr>
            </w:pPr>
            <w:r>
              <w:rPr>
                <w:rFonts w:ascii="仿宋_GB2312" w:eastAsia="仿宋_GB2312" w:hAnsi="仿宋_GB2312" w:cs="仿宋_GB2312" w:hint="eastAsia"/>
                <w:sz w:val="32"/>
                <w:szCs w:val="32"/>
              </w:rPr>
              <w:t>是/否</w:t>
            </w:r>
          </w:p>
        </w:tc>
        <w:tc>
          <w:tcPr>
            <w:tcW w:w="957" w:type="pct"/>
          </w:tcPr>
          <w:p w:rsidR="00815571" w:rsidRDefault="00815571" w:rsidP="00284C85">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815571" w:rsidTr="00284C85">
        <w:trPr>
          <w:trHeight w:val="534"/>
        </w:trPr>
        <w:tc>
          <w:tcPr>
            <w:tcW w:w="3257" w:type="pct"/>
          </w:tcPr>
          <w:p w:rsidR="00815571" w:rsidRDefault="00815571" w:rsidP="00284C85">
            <w:pPr>
              <w:spacing w:line="2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1.考前10天内国（境）外旅居史</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470"/>
        </w:trPr>
        <w:tc>
          <w:tcPr>
            <w:tcW w:w="3257" w:type="pct"/>
          </w:tcPr>
          <w:p w:rsidR="00815571" w:rsidRDefault="00815571" w:rsidP="00284C85">
            <w:pPr>
              <w:spacing w:line="2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2.考前7天内国内中高风险区旅居史</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931"/>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3.考前10天内与新冠肺炎确诊病例、疑似病例、无症状感染者及上途3类人员的密切接触者或次密切接触者是否有密切接触史</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627"/>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4.考前7天内中高风险区所在县（区、市）旅居史</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523"/>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5.考前7天内涉疫县（区、市）旅居史</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728"/>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6.已治愈出院的新冠肺炎确诊病例和已解除集中隔离医学观察的无症状感染者，尚在随访或医学观察期内</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627"/>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7.需要隔离医学观察的其他重点风险人员</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402"/>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8.全程接种疫苗，按要求完成加强第三针接种</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606"/>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9.健康码和行程码均为绿码，体温低于37.3℃，且无干咳、乏力，嗅（味）觉减退、腹泻等异常症状</w:t>
            </w:r>
          </w:p>
        </w:tc>
        <w:tc>
          <w:tcPr>
            <w:tcW w:w="786"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c>
          <w:tcPr>
            <w:tcW w:w="957" w:type="pct"/>
          </w:tcPr>
          <w:p w:rsidR="00815571" w:rsidRDefault="00815571" w:rsidP="00284C85">
            <w:pPr>
              <w:spacing w:line="260" w:lineRule="exact"/>
              <w:ind w:firstLineChars="200" w:firstLine="640"/>
              <w:rPr>
                <w:rFonts w:ascii="仿宋_GB2312" w:eastAsia="仿宋_GB2312" w:hAnsi="仿宋_GB2312" w:cs="仿宋_GB2312"/>
                <w:sz w:val="32"/>
                <w:szCs w:val="32"/>
              </w:rPr>
            </w:pPr>
          </w:p>
        </w:tc>
      </w:tr>
      <w:tr w:rsidR="00815571" w:rsidTr="00284C85">
        <w:trPr>
          <w:trHeight w:val="606"/>
        </w:trPr>
        <w:tc>
          <w:tcPr>
            <w:tcW w:w="3257" w:type="pct"/>
          </w:tcPr>
          <w:p w:rsidR="00815571" w:rsidRDefault="00815571" w:rsidP="00284C85">
            <w:pPr>
              <w:spacing w:line="2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0.7</w:t>
            </w:r>
            <w:r>
              <w:rPr>
                <w:rFonts w:ascii="仿宋_GB2312" w:eastAsia="仿宋_GB2312" w:hAnsi="仿宋_GB2312" w:cs="仿宋_GB2312" w:hint="eastAsia"/>
                <w:sz w:val="24"/>
              </w:rPr>
              <w:t>日内旅居地（具体到区、县级）</w:t>
            </w:r>
          </w:p>
        </w:tc>
        <w:tc>
          <w:tcPr>
            <w:tcW w:w="1743" w:type="pct"/>
            <w:gridSpan w:val="2"/>
          </w:tcPr>
          <w:p w:rsidR="00815571" w:rsidRDefault="00815571" w:rsidP="00284C85">
            <w:pPr>
              <w:spacing w:line="260" w:lineRule="exact"/>
              <w:ind w:firstLineChars="200" w:firstLine="640"/>
              <w:rPr>
                <w:rFonts w:ascii="仿宋_GB2312" w:eastAsia="仿宋_GB2312" w:hAnsi="仿宋_GB2312" w:cs="仿宋_GB2312"/>
                <w:sz w:val="32"/>
                <w:szCs w:val="32"/>
              </w:rPr>
            </w:pPr>
          </w:p>
        </w:tc>
      </w:tr>
    </w:tbl>
    <w:p w:rsidR="00815571" w:rsidRDefault="00815571" w:rsidP="00815571">
      <w:pPr>
        <w:rPr>
          <w:rFonts w:ascii="仿宋_GB2312" w:eastAsia="仿宋_GB2312" w:hAnsi="仿宋_GB2312" w:cs="仿宋_GB2312"/>
          <w:sz w:val="32"/>
          <w:szCs w:val="32"/>
        </w:rPr>
      </w:pPr>
      <w:r>
        <w:rPr>
          <w:rFonts w:ascii="仿宋_GB2312" w:eastAsia="仿宋_GB2312" w:hAnsi="仿宋_GB2312" w:cs="仿宋_GB2312" w:hint="eastAsia"/>
          <w:sz w:val="32"/>
          <w:szCs w:val="32"/>
        </w:rPr>
        <w:t>注：1.如有相关情况，请备注写明详细情况。</w:t>
      </w:r>
    </w:p>
    <w:p w:rsidR="00815571" w:rsidRDefault="00815571" w:rsidP="0081557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2.按照填表日期当天公布的高中风险地区填写。</w:t>
      </w:r>
    </w:p>
    <w:p w:rsidR="00815571" w:rsidRDefault="00815571" w:rsidP="00815571">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填报日期：            考生签字：</w:t>
      </w:r>
    </w:p>
    <w:p w:rsidR="002A16E3" w:rsidRPr="00815571" w:rsidRDefault="002A16E3" w:rsidP="00815571"/>
    <w:sectPr w:rsidR="002A16E3" w:rsidRPr="00815571" w:rsidSect="0024273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0FB4"/>
    <w:rsid w:val="00150FB4"/>
    <w:rsid w:val="00242735"/>
    <w:rsid w:val="002A16E3"/>
    <w:rsid w:val="00532AC2"/>
    <w:rsid w:val="00630599"/>
    <w:rsid w:val="00720A6F"/>
    <w:rsid w:val="00815571"/>
    <w:rsid w:val="009C2036"/>
    <w:rsid w:val="00A446A6"/>
    <w:rsid w:val="00B0748D"/>
    <w:rsid w:val="00C70A50"/>
    <w:rsid w:val="00CC1438"/>
    <w:rsid w:val="00D863B2"/>
    <w:rsid w:val="00EE52CF"/>
    <w:rsid w:val="00F63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FB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815571"/>
    <w:pPr>
      <w:ind w:leftChars="200" w:left="420"/>
    </w:pPr>
    <w:rPr>
      <w:rFonts w:ascii="Calibri" w:hAnsi="Calibri" w:cs="宋体"/>
      <w:szCs w:val="20"/>
    </w:rPr>
  </w:style>
  <w:style w:type="paragraph" w:styleId="a3">
    <w:name w:val="List Paragraph"/>
    <w:basedOn w:val="a"/>
    <w:uiPriority w:val="34"/>
    <w:qFormat/>
    <w:rsid w:val="00815571"/>
    <w:pPr>
      <w:ind w:firstLineChars="200" w:firstLine="420"/>
    </w:pPr>
    <w:rPr>
      <w:rFonts w:ascii="Calibri" w:hAnsi="Calibri"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2022-10-20T02:06:00Z</dcterms:created>
  <dcterms:modified xsi:type="dcterms:W3CDTF">2022-10-20T02:06:00Z</dcterms:modified>
</cp:coreProperties>
</file>